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="00F96358">
        <w:rPr>
          <w:b/>
        </w:rPr>
        <w:t>00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985C9A" w:rsidP="0011394C">
      <w:pPr>
        <w:ind w:left="2832" w:firstLine="708"/>
        <w:rPr>
          <w:b/>
        </w:rPr>
      </w:pPr>
      <w:r>
        <w:rPr>
          <w:b/>
        </w:rPr>
        <w:t xml:space="preserve"> 01.01.-31.12.202</w:t>
      </w:r>
      <w:r w:rsidR="005F421B">
        <w:rPr>
          <w:b/>
        </w:rPr>
        <w:t>2</w:t>
      </w:r>
      <w:r w:rsidR="0011394C"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B11BC0" w:rsidRDefault="00B11BC0" w:rsidP="0011394C">
      <w:pPr>
        <w:jc w:val="both"/>
      </w:pPr>
    </w:p>
    <w:p w:rsidR="00F96358" w:rsidRDefault="00F96358" w:rsidP="0011394C">
      <w:pPr>
        <w:jc w:val="both"/>
      </w:pPr>
    </w:p>
    <w:p w:rsidR="0011394C" w:rsidRPr="00F96358" w:rsidRDefault="0011394C" w:rsidP="00314856">
      <w:pPr>
        <w:ind w:firstLine="708"/>
        <w:jc w:val="both"/>
        <w:rPr>
          <w:b/>
          <w:u w:val="single"/>
        </w:rPr>
      </w:pPr>
      <w:r w:rsidRPr="00F96358">
        <w:rPr>
          <w:b/>
          <w:u w:val="single"/>
        </w:rPr>
        <w:t>Obrazac PR-RAS</w:t>
      </w:r>
    </w:p>
    <w:p w:rsidR="00F96358" w:rsidRDefault="00F96358" w:rsidP="00314856">
      <w:pPr>
        <w:ind w:firstLine="708"/>
        <w:jc w:val="both"/>
        <w:rPr>
          <w:b/>
        </w:rPr>
      </w:pPr>
    </w:p>
    <w:p w:rsidR="00F96358" w:rsidRDefault="00F96358" w:rsidP="00314856">
      <w:pPr>
        <w:ind w:firstLine="708"/>
        <w:jc w:val="both"/>
        <w:rPr>
          <w:b/>
        </w:rPr>
      </w:pPr>
    </w:p>
    <w:p w:rsidR="0011394C" w:rsidRPr="00F96358" w:rsidRDefault="00F96358" w:rsidP="00F96358">
      <w:pPr>
        <w:ind w:firstLine="708"/>
        <w:jc w:val="both"/>
        <w:rPr>
          <w:b/>
        </w:rPr>
      </w:pPr>
      <w:r w:rsidRPr="00F96358">
        <w:rPr>
          <w:b/>
        </w:rPr>
        <w:t>1.Prihodi poslovanja</w:t>
      </w:r>
    </w:p>
    <w:p w:rsidR="00F96358" w:rsidRDefault="00F96358" w:rsidP="0011394C">
      <w:pPr>
        <w:jc w:val="both"/>
      </w:pPr>
    </w:p>
    <w:p w:rsidR="008556B8" w:rsidRPr="0069209B" w:rsidRDefault="00370310" w:rsidP="0011394C">
      <w:pPr>
        <w:jc w:val="both"/>
        <w:rPr>
          <w:b/>
        </w:rPr>
      </w:pPr>
      <w:r>
        <w:rPr>
          <w:b/>
        </w:rPr>
        <w:t>Šifra 6</w:t>
      </w:r>
      <w:r w:rsidR="008556B8" w:rsidRPr="0069209B">
        <w:rPr>
          <w:b/>
        </w:rPr>
        <w:t xml:space="preserve"> – Prihodi poslovanja</w:t>
      </w:r>
    </w:p>
    <w:p w:rsidR="008556B8" w:rsidRDefault="008556B8" w:rsidP="0011394C">
      <w:pPr>
        <w:jc w:val="both"/>
      </w:pPr>
    </w:p>
    <w:p w:rsidR="009E5CF5" w:rsidRDefault="00985C9A" w:rsidP="0011394C">
      <w:pPr>
        <w:jc w:val="both"/>
      </w:pPr>
      <w:r>
        <w:t>U razdoblju od 01.01.-31.12.202</w:t>
      </w:r>
      <w:r w:rsidR="005F421B">
        <w:t>2</w:t>
      </w:r>
      <w:r w:rsidR="0011394C">
        <w:t xml:space="preserve">.  </w:t>
      </w:r>
      <w:r w:rsidR="008556B8">
        <w:t xml:space="preserve">prihodi poslovanja (razred 6) iznose </w:t>
      </w:r>
      <w:r w:rsidR="005E52FC">
        <w:t xml:space="preserve"> </w:t>
      </w:r>
      <w:r w:rsidR="001A74B8">
        <w:t xml:space="preserve">4.429.005,56 </w:t>
      </w:r>
      <w:r w:rsidR="0011394C">
        <w:t>kuna</w:t>
      </w:r>
      <w:r w:rsidR="008556B8">
        <w:t xml:space="preserve"> </w:t>
      </w:r>
      <w:r w:rsidR="0011394C">
        <w:t xml:space="preserve"> </w:t>
      </w:r>
      <w:r w:rsidR="008556B8">
        <w:t>i veći su od ostvarenih u 20</w:t>
      </w:r>
      <w:r w:rsidR="005E52FC">
        <w:t>2</w:t>
      </w:r>
      <w:r w:rsidR="001A74B8">
        <w:t>1</w:t>
      </w:r>
      <w:r w:rsidR="008556B8">
        <w:t xml:space="preserve">. godini za </w:t>
      </w:r>
      <w:r w:rsidR="001A74B8">
        <w:t>8,4</w:t>
      </w:r>
      <w:r w:rsidR="008556B8">
        <w:t>%.</w:t>
      </w:r>
    </w:p>
    <w:p w:rsidR="009C1A60" w:rsidRDefault="009C1A60" w:rsidP="0011394C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>Šifra 6361: Pomoći iz inozemstva i od subjekata unutar opće države</w:t>
      </w:r>
    </w:p>
    <w:p w:rsidR="009C1A60" w:rsidRDefault="009C1A60" w:rsidP="009C1A60">
      <w:pPr>
        <w:jc w:val="both"/>
      </w:pPr>
      <w:r>
        <w:t xml:space="preserve">Tekući pomoći proračunskim korisnicima iz proračuna koji im nije nadležan predstavljaju sredstva za plaće i ostale izdatke za zaposlene koje doznačuje Ministarstvo znanosti i obrazovanja. </w:t>
      </w:r>
      <w:r w:rsidR="009F2A79">
        <w:t>U prosincu 2022. primljen je od MZO iznos od 10.000,00 kn za provođenje programa izvannastavnih aktivnosti (provođenje programa u 2023. godini).</w:t>
      </w:r>
    </w:p>
    <w:p w:rsidR="009C1A60" w:rsidRDefault="009C1A60" w:rsidP="009C1A60">
      <w:pPr>
        <w:jc w:val="both"/>
      </w:pPr>
      <w:r>
        <w:t>Općina Sveta Marija sufinancira prehranu učenicima.</w:t>
      </w:r>
    </w:p>
    <w:p w:rsidR="009C1A60" w:rsidRDefault="009C1A60" w:rsidP="009C1A60">
      <w:pPr>
        <w:jc w:val="both"/>
      </w:pPr>
      <w:r>
        <w:t>Kapitalne pomoći  proračunskim korisnicima iz proračuna koji im nije nadležan predstavljaju sredstva dobivena za nabavu udžbenika i sredstva za nabavu knjiga za školsku knjižnicu.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>Šifra 6381: Pomoći temeljem prijenosa EU sredstava</w:t>
      </w:r>
    </w:p>
    <w:p w:rsidR="009C1A60" w:rsidRDefault="009C1A60" w:rsidP="009C1A60">
      <w:pPr>
        <w:jc w:val="both"/>
      </w:pPr>
      <w:r>
        <w:t>U 2022. godini učenici temeljem projekta Školske sheme dobivaju dodatne obroke mlijeka i voća, a dobivena su i sredstva iz projekta „Školski obroci svima“ kojim se osiguravaju obroci učenicima u nepovoljnom socijalnom položaju.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 xml:space="preserve">Šifra 6526: Ostali nespomenuti prihodi </w:t>
      </w:r>
      <w:r>
        <w:t xml:space="preserve"> odnose se na prihode od uplate učenika za prehranu u školskoj kuhinji, članarinu Školskog sportskog kluba, članarinu Kluba prijatelja knjige, izgubljene udžbenike te uplate učenika za jednodnevne izlete odnosno terensku nastavu.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lastRenderedPageBreak/>
        <w:t xml:space="preserve">Šifra 6631: Tekuće donacije </w:t>
      </w:r>
    </w:p>
    <w:p w:rsidR="009C1A60" w:rsidRDefault="009C1A60" w:rsidP="009C1A60">
      <w:pPr>
        <w:jc w:val="both"/>
      </w:pPr>
      <w:r>
        <w:t xml:space="preserve"> Tekuća donacije koje su ostvarene:</w:t>
      </w:r>
    </w:p>
    <w:p w:rsidR="009C1A60" w:rsidRDefault="009C1A60" w:rsidP="009C1A60">
      <w:pPr>
        <w:jc w:val="both"/>
      </w:pPr>
      <w:r>
        <w:t>-GKP Pre-kom za sudjelovanje u eko-kvizu = 500,00 kn</w:t>
      </w:r>
    </w:p>
    <w:p w:rsidR="009C1A60" w:rsidRDefault="009C1A60" w:rsidP="009C1A60">
      <w:pPr>
        <w:jc w:val="both"/>
      </w:pPr>
      <w:r>
        <w:t>-Muraplast Kotoriba za učionicu na otvorenom = 2.000,00 kn</w:t>
      </w:r>
    </w:p>
    <w:p w:rsidR="009C1A60" w:rsidRDefault="009C1A60" w:rsidP="009C1A60">
      <w:pPr>
        <w:jc w:val="both"/>
      </w:pPr>
      <w:r>
        <w:t>-Inner Whell klub Prelog za učionicu na otvorenom = 2.000,00 kn</w:t>
      </w:r>
    </w:p>
    <w:p w:rsidR="009C1A60" w:rsidRDefault="009C1A60" w:rsidP="009C1A60">
      <w:pPr>
        <w:jc w:val="both"/>
      </w:pPr>
      <w:r>
        <w:t>-</w:t>
      </w:r>
      <w:r w:rsidR="006B50B9">
        <w:t>Koncept putovanja za t</w:t>
      </w:r>
      <w:r>
        <w:t>roškove pedagoške pratnje na izletu = 1.700,00 kuna</w:t>
      </w:r>
    </w:p>
    <w:p w:rsidR="009C1A60" w:rsidRDefault="009C1A60" w:rsidP="009C1A60">
      <w:pPr>
        <w:jc w:val="both"/>
      </w:pPr>
      <w:r>
        <w:t>-Tehnix</w:t>
      </w:r>
      <w:r w:rsidR="006B50B9">
        <w:t xml:space="preserve"> </w:t>
      </w:r>
      <w:r>
        <w:t>Donji K</w:t>
      </w:r>
      <w:r w:rsidR="006B50B9">
        <w:t>raljevec</w:t>
      </w:r>
      <w:r>
        <w:t xml:space="preserve"> za učionicu na otvorenom = 10.000,00 kn</w:t>
      </w:r>
    </w:p>
    <w:p w:rsidR="009C1A60" w:rsidRDefault="009C1A60" w:rsidP="009C1A60">
      <w:pPr>
        <w:jc w:val="both"/>
      </w:pPr>
      <w:r>
        <w:t>-Crvenog križa iz sredstava Solidarnosti = 404,00 kn</w:t>
      </w:r>
    </w:p>
    <w:p w:rsidR="006B50B9" w:rsidRDefault="006B50B9" w:rsidP="009C1A60">
      <w:pPr>
        <w:jc w:val="both"/>
      </w:pPr>
      <w:r>
        <w:t>-rabat nakladnika za časopise i testove =819,30 kn</w:t>
      </w:r>
    </w:p>
    <w:p w:rsidR="006B50B9" w:rsidRDefault="006B50B9" w:rsidP="009C1A60">
      <w:pPr>
        <w:jc w:val="both"/>
      </w:pPr>
      <w:r>
        <w:t>-Unimer Čakovec za sakupljeni stari papir = 2.198,00 kn</w:t>
      </w:r>
    </w:p>
    <w:p w:rsidR="006B50B9" w:rsidRDefault="006B50B9" w:rsidP="009C1A60">
      <w:pPr>
        <w:jc w:val="both"/>
      </w:pPr>
      <w:r>
        <w:t>-za sakupljene stare baterije – 1.072,00 kn</w:t>
      </w:r>
    </w:p>
    <w:p w:rsidR="006B50B9" w:rsidRDefault="006B50B9" w:rsidP="009C1A60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 xml:space="preserve">Šifra 67:  Prihodi iz nadležnog proračuna za financiranje redovne djelatnosti </w:t>
      </w:r>
      <w:r>
        <w:t>prihodi su od Međimurske županije sukladno Odluci o kriterijima, mjerilima i načinu financiranja rashoda osnovnih škola u Međimurskoj županiji. Primljena su i sredstva u iznosu od 70.000,00 kuna za nabavu klupa i ormara za učionice</w:t>
      </w:r>
      <w:r w:rsidR="006B50B9">
        <w:t>, 24.871,25 kn za zamjenu bojlera, 9.600 kn za rad stručnjaka za tehničku podršku u projektu e-škole te 2.000,00 kn za sakupljeni stari papir</w:t>
      </w:r>
      <w:r>
        <w:t>.</w:t>
      </w:r>
    </w:p>
    <w:p w:rsidR="009C1A60" w:rsidRDefault="009C1A60" w:rsidP="009C1A60">
      <w:pPr>
        <w:jc w:val="both"/>
      </w:pPr>
    </w:p>
    <w:p w:rsidR="009C1A60" w:rsidRDefault="009C1A60" w:rsidP="009C1A60">
      <w:pPr>
        <w:ind w:firstLine="708"/>
        <w:jc w:val="both"/>
        <w:rPr>
          <w:b/>
        </w:rPr>
      </w:pPr>
      <w:r>
        <w:rPr>
          <w:b/>
        </w:rPr>
        <w:t>2.Rashodi poslovanja</w:t>
      </w:r>
    </w:p>
    <w:p w:rsidR="006B50B9" w:rsidRDefault="006B50B9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>Šifra 31</w:t>
      </w:r>
      <w:r w:rsidR="006B50B9">
        <w:rPr>
          <w:b/>
        </w:rPr>
        <w:t>1</w:t>
      </w:r>
      <w:r>
        <w:rPr>
          <w:b/>
        </w:rPr>
        <w:t>3: Plaće za prekovremeni rad</w:t>
      </w:r>
      <w:r>
        <w:t xml:space="preserve"> povećane su odnosu na 2021. godinu, a uzrok ovog povećanja je veći broj sati zamjena nenazočnih učitelja. </w:t>
      </w:r>
    </w:p>
    <w:p w:rsidR="009C1A60" w:rsidRDefault="009F2A79" w:rsidP="009C1A60">
      <w:pPr>
        <w:jc w:val="both"/>
      </w:pPr>
      <w:r w:rsidRPr="009F2A79">
        <w:rPr>
          <w:b/>
        </w:rPr>
        <w:t>Šifra 312:</w:t>
      </w:r>
      <w:r>
        <w:t xml:space="preserve"> </w:t>
      </w:r>
      <w:r w:rsidR="009C1A60">
        <w:t xml:space="preserve">U ostale rashode za zaposlene uključen je i trošak </w:t>
      </w:r>
      <w:r>
        <w:t xml:space="preserve">regresa za 2022. godinu </w:t>
      </w:r>
      <w:r w:rsidR="009C1A60">
        <w:t>(prava temeljem važećih kolektivnih ugovora za zaposlenike u osnovnom školstvu) čija će isplata biti u siječnju 202</w:t>
      </w:r>
      <w:r>
        <w:t>3</w:t>
      </w:r>
      <w:r w:rsidR="009C1A60">
        <w:t>. godine, kada će biti osigurana i sredstva.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>Šifra 32: Materijalni rashodi</w:t>
      </w:r>
      <w:r>
        <w:t xml:space="preserve">  </w:t>
      </w:r>
    </w:p>
    <w:p w:rsidR="009C1A60" w:rsidRDefault="009C1A60" w:rsidP="009C1A60">
      <w:pPr>
        <w:jc w:val="both"/>
      </w:pPr>
      <w:r>
        <w:t>Značajna odstupanja od prethodne godine:</w:t>
      </w:r>
    </w:p>
    <w:p w:rsidR="009C1A60" w:rsidRDefault="009C1A60" w:rsidP="009C1A60">
      <w:pPr>
        <w:jc w:val="both"/>
      </w:pPr>
      <w:r>
        <w:t>-Šifra 3211: Službena putovanja – u 2022. godini stručna usavršavanja su se u odnosu na 2021. održavala i uživo, a također su učitelji odlazili s učenicima na izlete, terensku nastavu i izlete</w:t>
      </w:r>
    </w:p>
    <w:p w:rsidR="009C1A60" w:rsidRDefault="009C1A60" w:rsidP="009C1A60">
      <w:pPr>
        <w:jc w:val="both"/>
      </w:pPr>
      <w:r>
        <w:t>-Šifra 3212: Naknada za prijevoz – iznos naknade za prijevoz povećan je zato jer se nastava odvijala uživo a ne na daljinu, a povećano je i pravo na naknadu prema novom Temeljnom kolektivnom ugovoru za službenike i namještenike u javnim službama</w:t>
      </w:r>
    </w:p>
    <w:p w:rsidR="009C1A60" w:rsidRDefault="009C1A60" w:rsidP="009C1A60">
      <w:pPr>
        <w:jc w:val="both"/>
      </w:pPr>
      <w:r>
        <w:t>-Šifra 3222: Materij</w:t>
      </w:r>
      <w:r w:rsidR="009F2A79">
        <w:t>al i sirovine – povećan je troš</w:t>
      </w:r>
      <w:r>
        <w:t>a</w:t>
      </w:r>
      <w:r w:rsidR="009F2A79">
        <w:t>k</w:t>
      </w:r>
      <w:r>
        <w:t xml:space="preserve"> nabave namirnic</w:t>
      </w:r>
      <w:r w:rsidR="009F2A79">
        <w:t>a</w:t>
      </w:r>
      <w:r>
        <w:t xml:space="preserve"> i potrošnog materijala za školsku kuhinju radi odvijanja nastave uživo i povećanja cijena namirnica</w:t>
      </w:r>
      <w:r w:rsidR="009F2A79">
        <w:t>, a učenici su imali i dodatan obrok</w:t>
      </w:r>
    </w:p>
    <w:p w:rsidR="009C1A60" w:rsidRDefault="009C1A60" w:rsidP="009C1A60">
      <w:pPr>
        <w:jc w:val="both"/>
      </w:pPr>
      <w:r>
        <w:t>-Šifra 3223: Energija – troškovi energenata smanjeni su zbog primjene objedinjene javne nabave plina  čime je postignuta povoljnija cijena, a također i zbog blage zime</w:t>
      </w:r>
    </w:p>
    <w:p w:rsidR="009C1A60" w:rsidRDefault="009C1A60" w:rsidP="009C1A60">
      <w:pPr>
        <w:jc w:val="both"/>
      </w:pPr>
      <w:r>
        <w:t xml:space="preserve">-Šifra 3224: Materijal i dijelovi za tekuće i investicijsko održavanje –zamijenjene su  vatrogasne cijevi za vanjske ormariće hidrantske mreže, </w:t>
      </w:r>
      <w:r w:rsidR="009F2A79">
        <w:t>najveći iznos predstavlja nabava materijala za učionicu na otvorenom</w:t>
      </w:r>
    </w:p>
    <w:p w:rsidR="009C1A60" w:rsidRDefault="009C1A60" w:rsidP="009C1A60">
      <w:pPr>
        <w:jc w:val="both"/>
      </w:pPr>
      <w:r>
        <w:t>-Šifra 3225:  –nabavljene</w:t>
      </w:r>
      <w:r w:rsidR="009F2A79">
        <w:t xml:space="preserve"> su klupe i ormari za učionice,</w:t>
      </w:r>
      <w:r>
        <w:t xml:space="preserve"> vanjski košev</w:t>
      </w:r>
      <w:r w:rsidR="009F2A79">
        <w:t xml:space="preserve">i za smeće, dva računala i dva monitora, </w:t>
      </w:r>
    </w:p>
    <w:p w:rsidR="009C1A60" w:rsidRDefault="009C1A60" w:rsidP="009C1A60">
      <w:pPr>
        <w:jc w:val="both"/>
      </w:pPr>
      <w:r>
        <w:t>-Šifra 3231: Usluge telefona, pošte i prijevoza – plaćen je prijevoz učenika autobusom na terensku nastavu i izlete</w:t>
      </w:r>
    </w:p>
    <w:p w:rsidR="009C1A60" w:rsidRDefault="009C1A60" w:rsidP="009C1A60">
      <w:pPr>
        <w:jc w:val="both"/>
      </w:pPr>
      <w:r>
        <w:t>-Šifra 3236: Zdravstvene</w:t>
      </w:r>
      <w:r w:rsidR="00794CBB">
        <w:t xml:space="preserve"> i veterinarske usluge -</w:t>
      </w:r>
      <w:r>
        <w:t xml:space="preserve"> troškovi zbog plaćanja testiranja na COVID-19</w:t>
      </w:r>
      <w:r w:rsidR="00794CBB">
        <w:t>, nije bilo izdataka za sistematske preglede temeljem kolektivnog ugovora</w:t>
      </w:r>
    </w:p>
    <w:p w:rsidR="00794CBB" w:rsidRDefault="00794CBB" w:rsidP="009C1A60">
      <w:pPr>
        <w:jc w:val="both"/>
      </w:pPr>
      <w:r>
        <w:lastRenderedPageBreak/>
        <w:t xml:space="preserve">-Šifra 3237: </w:t>
      </w:r>
      <w:r w:rsidR="00E20A1F">
        <w:t>plaćeni su troškovi nalaza psihologa i logopeda za utvrđivanje psihofizičkog stanja učenika</w:t>
      </w:r>
    </w:p>
    <w:p w:rsidR="009C1A60" w:rsidRDefault="009C1A60" w:rsidP="009C1A60">
      <w:pPr>
        <w:jc w:val="both"/>
      </w:pPr>
      <w:r>
        <w:t>-Šifra 3296: Troškovi sudskih postupaka – plaćeni su troškovi nastali po pravomoćnim sudskim presudama za tužbe djelatnika za isplatu razlike osnovice</w:t>
      </w:r>
    </w:p>
    <w:p w:rsidR="009C1A60" w:rsidRDefault="009C1A60" w:rsidP="009C1A60">
      <w:pPr>
        <w:jc w:val="both"/>
      </w:pPr>
      <w:r>
        <w:t>-Šifra 3299: Ostali n</w:t>
      </w:r>
      <w:r w:rsidR="00E20A1F">
        <w:t xml:space="preserve">espomenuti rashodi poslovanja povećani su radi </w:t>
      </w:r>
      <w:r>
        <w:t xml:space="preserve"> troškov</w:t>
      </w:r>
      <w:r w:rsidR="00E20A1F">
        <w:t>a</w:t>
      </w:r>
      <w:r>
        <w:t xml:space="preserve"> izleta i terenske nastave učenika</w:t>
      </w:r>
    </w:p>
    <w:p w:rsidR="00364D45" w:rsidRDefault="00364D45" w:rsidP="009C1A60">
      <w:pPr>
        <w:jc w:val="both"/>
      </w:pPr>
    </w:p>
    <w:p w:rsidR="00364D45" w:rsidRPr="00B11BC0" w:rsidRDefault="00364D45" w:rsidP="00364D45">
      <w:pPr>
        <w:ind w:firstLine="708"/>
        <w:jc w:val="both"/>
        <w:rPr>
          <w:b/>
        </w:rPr>
      </w:pPr>
      <w:r w:rsidRPr="00B11BC0">
        <w:rPr>
          <w:b/>
        </w:rPr>
        <w:t>3. Rashodi za nabavu nefinancijske imovine</w:t>
      </w:r>
    </w:p>
    <w:p w:rsidR="00364D45" w:rsidRDefault="00364D45" w:rsidP="00364D45">
      <w:pPr>
        <w:jc w:val="both"/>
      </w:pPr>
    </w:p>
    <w:p w:rsidR="00364D45" w:rsidRDefault="00364D45" w:rsidP="00364D45">
      <w:pPr>
        <w:jc w:val="both"/>
      </w:pPr>
      <w:r w:rsidRPr="00B11BC0">
        <w:rPr>
          <w:b/>
        </w:rPr>
        <w:t>AOP 34</w:t>
      </w:r>
      <w:r>
        <w:rPr>
          <w:b/>
        </w:rPr>
        <w:t>4</w:t>
      </w:r>
      <w:r w:rsidRPr="00B11BC0">
        <w:rPr>
          <w:b/>
        </w:rPr>
        <w:t xml:space="preserve"> – Rashodi za nabavu nefinancijske imovine</w:t>
      </w:r>
      <w:r>
        <w:rPr>
          <w:b/>
        </w:rPr>
        <w:t>-</w:t>
      </w:r>
      <w:r>
        <w:t xml:space="preserve"> nabava knjiga za školsku knjižnicu, udžbenika za učenike.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>Višak prihoda i primitaka raspoloživ u sljedećem razdoblju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t>Za razdoblje 1.1.-3</w:t>
      </w:r>
      <w:r w:rsidR="00E20A1F">
        <w:t>1.12</w:t>
      </w:r>
      <w:r>
        <w:t xml:space="preserve">.2022.  ostvaren je višak prihoda i primitaka u izvještajnom razdoblju  u iznosu od  </w:t>
      </w:r>
      <w:r w:rsidR="00E20A1F">
        <w:t>43.334,55</w:t>
      </w:r>
      <w:r>
        <w:t xml:space="preserve"> kn</w:t>
      </w:r>
      <w:r w:rsidR="003F2020">
        <w:t xml:space="preserve"> (višak prihoda za školsku kuhinju, višak prihoda od MZO za doznačena sredstva za izvannastavne aktivnosti)</w:t>
      </w:r>
      <w:r>
        <w:t xml:space="preserve">. </w:t>
      </w:r>
      <w:r w:rsidR="00E20A1F">
        <w:t>V</w:t>
      </w:r>
      <w:r>
        <w:t>išak prihoda poslovanja iz prethodnih godina od 66.683,51</w:t>
      </w:r>
      <w:r w:rsidR="00E20A1F">
        <w:t xml:space="preserve"> umanjen je za 1.339,98 radi zatvaranja obveza i potraživanja iz prethodnih godina (potraživanje od vrtića </w:t>
      </w:r>
      <w:r w:rsidR="003F2020">
        <w:t xml:space="preserve">za zejdničke troškove </w:t>
      </w:r>
      <w:r w:rsidR="00E20A1F">
        <w:t>kada su vrtić i škola dijelili istu zgradu</w:t>
      </w:r>
      <w:r>
        <w:t>,</w:t>
      </w:r>
      <w:r w:rsidR="00E20A1F">
        <w:t xml:space="preserve"> nedostatnih sredstava za plaćanje doprinosa za stručno usavršavanje zbog promjena osnovica za doprinose, zatvaranje obveza i potraživanja prema dobavljačima radi usklađivanja sa stvarnim stanjem).</w:t>
      </w:r>
      <w:r>
        <w:t xml:space="preserve"> </w:t>
      </w:r>
      <w:r w:rsidR="00E20A1F">
        <w:t>U</w:t>
      </w:r>
      <w:r>
        <w:t>kupan višak prihoda i primitaka raspoloži</w:t>
      </w:r>
      <w:r w:rsidR="00E20A1F">
        <w:t>v u sljedećem razdoblju iznosi 108.687,08</w:t>
      </w:r>
      <w:r>
        <w:t xml:space="preserve"> kn. 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</w:p>
    <w:p w:rsidR="00C50922" w:rsidRDefault="00C50922" w:rsidP="0011394C">
      <w:pPr>
        <w:jc w:val="both"/>
      </w:pPr>
      <w:bookmarkStart w:id="0" w:name="_GoBack"/>
      <w:bookmarkEnd w:id="0"/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 xml:space="preserve">Obrazac BIL </w:t>
      </w:r>
    </w:p>
    <w:p w:rsidR="0011394C" w:rsidRDefault="0011394C" w:rsidP="0011394C">
      <w:pPr>
        <w:jc w:val="both"/>
      </w:pPr>
    </w:p>
    <w:p w:rsidR="007038AD" w:rsidRDefault="007038AD" w:rsidP="0011394C">
      <w:pPr>
        <w:jc w:val="both"/>
      </w:pPr>
      <w:r>
        <w:t>IMOVINA</w:t>
      </w:r>
    </w:p>
    <w:p w:rsidR="007038AD" w:rsidRDefault="007038AD" w:rsidP="0011394C">
      <w:pPr>
        <w:jc w:val="both"/>
      </w:pPr>
      <w:r>
        <w:t>Značajnija odstupanja na stanje 1. siječnja 2022. godine</w:t>
      </w:r>
    </w:p>
    <w:p w:rsidR="00E11C13" w:rsidRDefault="00E11C13" w:rsidP="0011394C">
      <w:pPr>
        <w:jc w:val="both"/>
      </w:pPr>
      <w:r>
        <w:t>Šifra 0221: Uredska oprema i namještaj – isknjižene su klupe</w:t>
      </w:r>
      <w:r w:rsidR="005C2DD1">
        <w:t xml:space="preserve"> bez sadašnje vrijednosti</w:t>
      </w:r>
      <w:r>
        <w:t xml:space="preserve">, koje su zamijenjene novima, a te nove klupe i ormari knjiženi su </w:t>
      </w:r>
      <w:r w:rsidR="003F2020">
        <w:t>kao</w:t>
      </w:r>
      <w:r>
        <w:t xml:space="preserve"> sitni inventar</w:t>
      </w:r>
      <w:r w:rsidR="005C2DD1">
        <w:t>. Isknjižena je umrežena računalna učionica dobivena od MZO 2003. godine, te neispravna računala.</w:t>
      </w:r>
    </w:p>
    <w:p w:rsidR="005C2DD1" w:rsidRDefault="005C2DD1" w:rsidP="0011394C">
      <w:pPr>
        <w:jc w:val="both"/>
      </w:pPr>
      <w:r>
        <w:t xml:space="preserve">Šifra 02922: Ispravak vrijednosti postrojenja i opreme – isknjižene je ispravak vrijednosti otpisanih klupa, računalne učionice te računala. </w:t>
      </w:r>
    </w:p>
    <w:p w:rsidR="00E11C13" w:rsidRDefault="00E11C13" w:rsidP="0011394C">
      <w:pPr>
        <w:jc w:val="both"/>
      </w:pPr>
      <w:r>
        <w:t>Šifra 02924: Ispravljeno je pogrešno knjiženje ispravka vrijednosti udžbenika</w:t>
      </w:r>
    </w:p>
    <w:p w:rsidR="00E11C13" w:rsidRDefault="00E11C13" w:rsidP="0011394C">
      <w:pPr>
        <w:jc w:val="both"/>
      </w:pPr>
      <w:r>
        <w:t>Šifra 042: nabavljeni su klupe i ormari za učionice, dva računala i dva monitora, mikrovalna i štapni mikser za kuhinju, vanjski koševi za smeće</w:t>
      </w:r>
    </w:p>
    <w:p w:rsidR="00E11C13" w:rsidRDefault="00FC1096" w:rsidP="0011394C">
      <w:pPr>
        <w:jc w:val="both"/>
      </w:pPr>
      <w:r>
        <w:t xml:space="preserve">Šifra 51: Građevinski objekti u pripremi – županija je prenijela ulaganja iz 2021. i 2022. u izgradnju sportske dvorane </w:t>
      </w:r>
    </w:p>
    <w:p w:rsidR="00FC1096" w:rsidRDefault="00FC1096" w:rsidP="0011394C">
      <w:pPr>
        <w:jc w:val="both"/>
      </w:pPr>
      <w:r>
        <w:t>Šifra 129: Ostala potraživanja –potraživanja za bolovanja na teret HZZO-a</w:t>
      </w:r>
    </w:p>
    <w:p w:rsidR="00FC1096" w:rsidRDefault="00FC1096" w:rsidP="0011394C">
      <w:pPr>
        <w:jc w:val="both"/>
      </w:pPr>
      <w:r>
        <w:t xml:space="preserve">Šifra 16: Potraživanja za prihode poslovanja – potraživanja za Školsku shemu </w:t>
      </w:r>
      <w:r w:rsidR="000D091E">
        <w:t>i potraživanja za uplatu učenika za kuhinju za prosinac 2022. godine.</w:t>
      </w:r>
    </w:p>
    <w:p w:rsidR="000D091E" w:rsidRDefault="000D091E" w:rsidP="0011394C">
      <w:pPr>
        <w:jc w:val="both"/>
      </w:pPr>
      <w:r>
        <w:t>Šifra 193: Kontinuirani rashodi budućih razdoblja – knjižena je plaća za prosinac 2022. godine</w:t>
      </w:r>
      <w:r w:rsidR="003F2020">
        <w:t xml:space="preserve"> koja dospijeva u siječnju 2023. godine</w:t>
      </w:r>
    </w:p>
    <w:p w:rsidR="003F2020" w:rsidRDefault="003F2020" w:rsidP="007038AD">
      <w:pPr>
        <w:jc w:val="both"/>
      </w:pPr>
    </w:p>
    <w:p w:rsidR="007038AD" w:rsidRDefault="007038AD" w:rsidP="007038AD">
      <w:pPr>
        <w:jc w:val="both"/>
      </w:pPr>
      <w:r>
        <w:t>OBVEZE I VLASTITI IZVORI</w:t>
      </w:r>
    </w:p>
    <w:p w:rsidR="003F2020" w:rsidRDefault="003F2020" w:rsidP="007038AD">
      <w:pPr>
        <w:jc w:val="both"/>
      </w:pPr>
      <w:r>
        <w:t xml:space="preserve">Značajno su povećani vlastiti izvori iz proračuna zbog prijenosa ulaganja Međimurske županije </w:t>
      </w:r>
      <w:r w:rsidR="00066EF6">
        <w:t xml:space="preserve">iz 2021. i 2022. godine </w:t>
      </w:r>
      <w:r>
        <w:t>u izgra</w:t>
      </w:r>
      <w:r w:rsidR="00066EF6">
        <w:t>d</w:t>
      </w:r>
      <w:r>
        <w:t xml:space="preserve">nju </w:t>
      </w:r>
      <w:r w:rsidR="00066EF6">
        <w:t>školske sportske dvorane.</w:t>
      </w:r>
    </w:p>
    <w:p w:rsidR="00066EF6" w:rsidRDefault="00066EF6" w:rsidP="007038AD">
      <w:pPr>
        <w:jc w:val="both"/>
      </w:pPr>
      <w:r>
        <w:lastRenderedPageBreak/>
        <w:t xml:space="preserve">Izvršena  je korekcija manjka prihoda od nefinancijske imovine za dobivena sredstva za udžbenike i lektiru. </w:t>
      </w:r>
    </w:p>
    <w:p w:rsidR="001034B0" w:rsidRDefault="00F9656E" w:rsidP="00066EF6">
      <w:pPr>
        <w:jc w:val="both"/>
      </w:pPr>
      <w:r>
        <w:t>U bilanci se kao izvanbilančni</w:t>
      </w:r>
      <w:r w:rsidR="000D1EE5">
        <w:t xml:space="preserve"> zapisi vode</w:t>
      </w:r>
      <w:r w:rsidR="00F11E6C">
        <w:t>, sukladno dobivenim uputama,</w:t>
      </w:r>
      <w:r>
        <w:t xml:space="preserve"> oprema (tableti, ormarići za punjene, projektori i prijenosna računala) koju je škola dobila iz projekta Podrška provedbi Cjelovite kurikularne reforme faza II</w:t>
      </w:r>
      <w:r w:rsidR="00921BAF">
        <w:t>, a za koju od strane Ministarstva znanosti i obrazovanja još nije dobivena odluka o prijenosu vlasništva</w:t>
      </w:r>
      <w:r w:rsidR="00ED0DC0">
        <w:t>.</w:t>
      </w:r>
    </w:p>
    <w:p w:rsidR="00ED0DC0" w:rsidRDefault="00066EF6" w:rsidP="0011394C">
      <w:pPr>
        <w:jc w:val="both"/>
      </w:pPr>
      <w:r>
        <w:t>Okončani su sudski sporovi p</w:t>
      </w:r>
      <w:r w:rsidR="00ED0DC0">
        <w:t xml:space="preserve">o pokrenutim tužbama zaposlenika za razliku isplate osnovice </w:t>
      </w:r>
      <w:r>
        <w:t>plaće te su smanjeni izvanbilančni zapisi</w:t>
      </w:r>
      <w:r w:rsidR="00B0348B">
        <w:t xml:space="preserve">. </w:t>
      </w:r>
    </w:p>
    <w:p w:rsidR="00AA2735" w:rsidRDefault="00AA2735" w:rsidP="0011394C">
      <w:pPr>
        <w:jc w:val="both"/>
      </w:pPr>
    </w:p>
    <w:p w:rsidR="005C2DD1" w:rsidRDefault="005C2DD1" w:rsidP="0011394C">
      <w:pPr>
        <w:jc w:val="both"/>
      </w:pPr>
    </w:p>
    <w:p w:rsidR="005C2DD1" w:rsidRPr="00C50922" w:rsidRDefault="005C2DD1" w:rsidP="005C2DD1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P-VRIO</w:t>
      </w:r>
    </w:p>
    <w:p w:rsidR="005C2DD1" w:rsidRDefault="005C2DD1" w:rsidP="005C2DD1">
      <w:pPr>
        <w:jc w:val="both"/>
      </w:pPr>
    </w:p>
    <w:p w:rsidR="005C2DD1" w:rsidRDefault="005C2DD1" w:rsidP="005C2DD1">
      <w:pPr>
        <w:jc w:val="both"/>
      </w:pPr>
      <w:r>
        <w:tab/>
        <w:t xml:space="preserve">U 2022. godini  Općina Sveta Marija donirala je 2 interaktivne ploče u ukupnoj procijenjenoj vrijednosti od 23.000,00 kn. Međimurska županija prenijela je ulaganja u izgradnju sportske dvorane u 2021. i 2022. godini u iznosu od 4.285.22,59 kn. </w:t>
      </w:r>
    </w:p>
    <w:p w:rsidR="005C2DD1" w:rsidRDefault="005C2DD1" w:rsidP="005C2DD1">
      <w:pPr>
        <w:jc w:val="both"/>
      </w:pPr>
    </w:p>
    <w:p w:rsidR="005C2DD1" w:rsidRDefault="005C2DD1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OBVEZE</w:t>
      </w:r>
    </w:p>
    <w:p w:rsidR="0011394C" w:rsidRPr="00C50922" w:rsidRDefault="0011394C" w:rsidP="0011394C">
      <w:pPr>
        <w:jc w:val="both"/>
        <w:rPr>
          <w:b/>
          <w:u w:val="single"/>
        </w:rPr>
      </w:pPr>
    </w:p>
    <w:p w:rsidR="0011394C" w:rsidRDefault="0011394C" w:rsidP="0011394C">
      <w:pPr>
        <w:jc w:val="both"/>
      </w:pPr>
      <w:r>
        <w:tab/>
        <w:t>Nedospjele obveze čine  obveze za obračunatu a nedospjelu plaću za mjesec prosinac 20</w:t>
      </w:r>
      <w:r w:rsidR="000D1EE5">
        <w:t>2</w:t>
      </w:r>
      <w:r w:rsidR="00066EF6">
        <w:t>2</w:t>
      </w:r>
      <w:r>
        <w:t>. (isplaćeno 12 plaća u 20</w:t>
      </w:r>
      <w:r w:rsidR="000D1EE5">
        <w:t>2</w:t>
      </w:r>
      <w:r w:rsidR="00066EF6">
        <w:t>2</w:t>
      </w:r>
      <w:r>
        <w:t>. godini)</w:t>
      </w:r>
      <w:r w:rsidR="00066EF6">
        <w:t xml:space="preserve">, </w:t>
      </w:r>
      <w:r>
        <w:t>ostale obveze (obveze za nedospjele troškove električne energije, plina</w:t>
      </w:r>
      <w:r w:rsidR="000D1EE5">
        <w:t>, telefona i dr. za prosinac 202</w:t>
      </w:r>
      <w:r w:rsidR="00066EF6">
        <w:t>2</w:t>
      </w:r>
      <w:r w:rsidR="00F019BA">
        <w:t>.)  te međusobne obveze proračunskih korisnika za naknadu za bolovanje na teret HZZO-a.</w:t>
      </w:r>
    </w:p>
    <w:p w:rsidR="00CC3109" w:rsidRDefault="00CC3109" w:rsidP="0011394C">
      <w:pPr>
        <w:jc w:val="both"/>
      </w:pPr>
    </w:p>
    <w:p w:rsidR="00C50922" w:rsidRDefault="00C50922" w:rsidP="0011394C">
      <w:pPr>
        <w:jc w:val="both"/>
      </w:pPr>
    </w:p>
    <w:p w:rsidR="00C50922" w:rsidRDefault="00C50922" w:rsidP="0011394C">
      <w:pPr>
        <w:jc w:val="both"/>
      </w:pPr>
    </w:p>
    <w:p w:rsidR="00CC3109" w:rsidRPr="00C50922" w:rsidRDefault="00CC3109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RAS-FUNKCIJSKI</w:t>
      </w:r>
    </w:p>
    <w:p w:rsidR="00CC3109" w:rsidRPr="00CC3109" w:rsidRDefault="00CC3109" w:rsidP="0011394C">
      <w:pPr>
        <w:jc w:val="both"/>
        <w:rPr>
          <w:b/>
        </w:rPr>
      </w:pPr>
    </w:p>
    <w:p w:rsidR="00CC3109" w:rsidRDefault="00CC3109" w:rsidP="0011394C">
      <w:pPr>
        <w:jc w:val="both"/>
      </w:pPr>
      <w:r>
        <w:tab/>
        <w:t>Osnovna škola Sveta Marija obavlja uslug</w:t>
      </w:r>
      <w:r w:rsidR="0046499F">
        <w:t>u</w:t>
      </w:r>
      <w:r>
        <w:t xml:space="preserve"> osnovnoškolskog obrazovanja uvedenu na </w:t>
      </w:r>
      <w:r w:rsidR="00F019BA">
        <w:t>Šifri 0912</w:t>
      </w:r>
      <w:r>
        <w:t xml:space="preserve"> Osnovno obrazovanje. Na </w:t>
      </w:r>
      <w:r w:rsidR="00F019BA">
        <w:t xml:space="preserve">Šifri  196 </w:t>
      </w:r>
      <w:r>
        <w:t>Dodatne usluge u obrazovanju uvedene su usluge prehrane učenika u školskoj kuhinji.</w:t>
      </w:r>
    </w:p>
    <w:p w:rsidR="00A6768B" w:rsidRDefault="0011394C" w:rsidP="0011394C">
      <w:pPr>
        <w:jc w:val="both"/>
      </w:pPr>
      <w:r>
        <w:tab/>
      </w:r>
      <w:r>
        <w:tab/>
      </w:r>
      <w:r>
        <w:tab/>
      </w: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E44C18">
        <w:t>3</w:t>
      </w:r>
      <w:r w:rsidR="00F019BA">
        <w:t>1.</w:t>
      </w:r>
      <w:r>
        <w:t xml:space="preserve"> </w:t>
      </w:r>
      <w:r w:rsidR="00E44C18">
        <w:t>siječnja</w:t>
      </w:r>
      <w:r>
        <w:t xml:space="preserve"> 20</w:t>
      </w:r>
      <w:r w:rsidR="000D1EE5">
        <w:t>2</w:t>
      </w:r>
      <w:r w:rsidR="005C2DD1">
        <w:t>3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E44C18" w:rsidRDefault="00E44C1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</w:t>
      </w:r>
      <w:r w:rsidR="00C0183E">
        <w:t>ICA</w:t>
      </w:r>
      <w:r w:rsidR="0011394C">
        <w:t>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83E">
        <w:t>Gorana Šavora Peter</w:t>
      </w:r>
      <w:r>
        <w:t>, prof.</w:t>
      </w:r>
    </w:p>
    <w:p w:rsidR="00460B43" w:rsidRDefault="00460B43"/>
    <w:sectPr w:rsidR="0046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77" w:rsidRDefault="00CD2A77" w:rsidP="00F11E6C">
      <w:r>
        <w:separator/>
      </w:r>
    </w:p>
  </w:endnote>
  <w:endnote w:type="continuationSeparator" w:id="0">
    <w:p w:rsidR="00CD2A77" w:rsidRDefault="00CD2A77" w:rsidP="00F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164633"/>
      <w:docPartObj>
        <w:docPartGallery w:val="Page Numbers (Bottom of Page)"/>
        <w:docPartUnique/>
      </w:docPartObj>
    </w:sdtPr>
    <w:sdtEndPr/>
    <w:sdtContent>
      <w:p w:rsidR="00F11E6C" w:rsidRDefault="00F11E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EC">
          <w:rPr>
            <w:noProof/>
          </w:rPr>
          <w:t>4</w:t>
        </w:r>
        <w:r>
          <w:fldChar w:fldCharType="end"/>
        </w:r>
      </w:p>
    </w:sdtContent>
  </w:sdt>
  <w:p w:rsidR="00F11E6C" w:rsidRDefault="00F11E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77" w:rsidRDefault="00CD2A77" w:rsidP="00F11E6C">
      <w:r>
        <w:separator/>
      </w:r>
    </w:p>
  </w:footnote>
  <w:footnote w:type="continuationSeparator" w:id="0">
    <w:p w:rsidR="00CD2A77" w:rsidRDefault="00CD2A77" w:rsidP="00F1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FD0"/>
    <w:multiLevelType w:val="hybridMultilevel"/>
    <w:tmpl w:val="34261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030F78"/>
    <w:rsid w:val="00066EF6"/>
    <w:rsid w:val="00096233"/>
    <w:rsid w:val="000A5926"/>
    <w:rsid w:val="000D091E"/>
    <w:rsid w:val="000D1EE5"/>
    <w:rsid w:val="001034B0"/>
    <w:rsid w:val="0011394C"/>
    <w:rsid w:val="001334DB"/>
    <w:rsid w:val="00163D29"/>
    <w:rsid w:val="001806AA"/>
    <w:rsid w:val="001A74B8"/>
    <w:rsid w:val="002076B3"/>
    <w:rsid w:val="00246C1F"/>
    <w:rsid w:val="002615B1"/>
    <w:rsid w:val="002F450B"/>
    <w:rsid w:val="00314856"/>
    <w:rsid w:val="00363096"/>
    <w:rsid w:val="00364D45"/>
    <w:rsid w:val="00370310"/>
    <w:rsid w:val="003A06E5"/>
    <w:rsid w:val="003B2390"/>
    <w:rsid w:val="003C2E50"/>
    <w:rsid w:val="003F2020"/>
    <w:rsid w:val="00447388"/>
    <w:rsid w:val="00460B43"/>
    <w:rsid w:val="0046499F"/>
    <w:rsid w:val="00486FCD"/>
    <w:rsid w:val="00506DDA"/>
    <w:rsid w:val="0057215D"/>
    <w:rsid w:val="00572FD9"/>
    <w:rsid w:val="005C2DD1"/>
    <w:rsid w:val="005E52FC"/>
    <w:rsid w:val="005F421B"/>
    <w:rsid w:val="006034FB"/>
    <w:rsid w:val="006126BB"/>
    <w:rsid w:val="00622B94"/>
    <w:rsid w:val="00645CC6"/>
    <w:rsid w:val="00653C08"/>
    <w:rsid w:val="0069209B"/>
    <w:rsid w:val="006B38A5"/>
    <w:rsid w:val="006B50B9"/>
    <w:rsid w:val="007038AD"/>
    <w:rsid w:val="00731B56"/>
    <w:rsid w:val="007535E3"/>
    <w:rsid w:val="00763E3A"/>
    <w:rsid w:val="00774242"/>
    <w:rsid w:val="00794821"/>
    <w:rsid w:val="00794CBB"/>
    <w:rsid w:val="007E6402"/>
    <w:rsid w:val="007F59F5"/>
    <w:rsid w:val="0080001E"/>
    <w:rsid w:val="008556B8"/>
    <w:rsid w:val="00921BAF"/>
    <w:rsid w:val="009840EC"/>
    <w:rsid w:val="00985C9A"/>
    <w:rsid w:val="009B5EBC"/>
    <w:rsid w:val="009C03AF"/>
    <w:rsid w:val="009C1A60"/>
    <w:rsid w:val="009E5CF5"/>
    <w:rsid w:val="009F2A79"/>
    <w:rsid w:val="00A32039"/>
    <w:rsid w:val="00A6768B"/>
    <w:rsid w:val="00AA2735"/>
    <w:rsid w:val="00AF6039"/>
    <w:rsid w:val="00B0348B"/>
    <w:rsid w:val="00B11BC0"/>
    <w:rsid w:val="00B961F6"/>
    <w:rsid w:val="00BC49E8"/>
    <w:rsid w:val="00BE40F1"/>
    <w:rsid w:val="00C0183E"/>
    <w:rsid w:val="00C33BD9"/>
    <w:rsid w:val="00C50922"/>
    <w:rsid w:val="00C55125"/>
    <w:rsid w:val="00CA6981"/>
    <w:rsid w:val="00CC3109"/>
    <w:rsid w:val="00CD2A77"/>
    <w:rsid w:val="00D11FF9"/>
    <w:rsid w:val="00D63851"/>
    <w:rsid w:val="00D6394E"/>
    <w:rsid w:val="00D810C9"/>
    <w:rsid w:val="00DA3BA8"/>
    <w:rsid w:val="00DB4239"/>
    <w:rsid w:val="00DE3694"/>
    <w:rsid w:val="00DF0ACC"/>
    <w:rsid w:val="00E11C13"/>
    <w:rsid w:val="00E20A1F"/>
    <w:rsid w:val="00E44C18"/>
    <w:rsid w:val="00E74B1B"/>
    <w:rsid w:val="00E8198A"/>
    <w:rsid w:val="00EA0982"/>
    <w:rsid w:val="00ED0DC0"/>
    <w:rsid w:val="00F019BA"/>
    <w:rsid w:val="00F11E6C"/>
    <w:rsid w:val="00F411B9"/>
    <w:rsid w:val="00F57474"/>
    <w:rsid w:val="00F808DE"/>
    <w:rsid w:val="00F96358"/>
    <w:rsid w:val="00F9656E"/>
    <w:rsid w:val="00FC1096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5C7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5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3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A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41</cp:revision>
  <cp:lastPrinted>2023-01-30T06:21:00Z</cp:lastPrinted>
  <dcterms:created xsi:type="dcterms:W3CDTF">2013-02-12T08:40:00Z</dcterms:created>
  <dcterms:modified xsi:type="dcterms:W3CDTF">2023-01-30T06:22:00Z</dcterms:modified>
</cp:coreProperties>
</file>